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w:t>
      </w:r>
      <w:bookmarkStart w:id="1" w:name="_GoBack"/>
      <w:bookmarkEnd w:id="1"/>
      <w:r w:rsidRPr="006848CC">
        <w:rPr>
          <w:rFonts w:ascii="Times New Roman" w:hAnsi="Times New Roman"/>
          <w:sz w:val="28"/>
          <w:szCs w:val="28"/>
        </w:rPr>
        <w:t xml:space="preserve">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407654">
        <w:rPr>
          <w:rStyle w:val="af5"/>
          <w:rFonts w:ascii="Times New Roman" w:hAnsi="Times New Roman" w:cs="Times New Roman"/>
          <w:color w:val="000000"/>
          <w:sz w:val="28"/>
          <w:szCs w:val="28"/>
          <w:highlight w:val="green"/>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407654">
        <w:rPr>
          <w:rStyle w:val="af5"/>
          <w:rFonts w:ascii="Times New Roman" w:hAnsi="Times New Roman" w:cs="Times New Roman"/>
          <w:color w:val="000000"/>
          <w:sz w:val="28"/>
          <w:szCs w:val="28"/>
          <w:highlight w:val="green"/>
        </w:rPr>
        <w:lastRenderedPageBreak/>
        <w:t xml:space="preserve">договором) на отчетную дату (в случае, если в период декларационной кампании </w:t>
      </w:r>
      <w:r w:rsidRPr="00407654">
        <w:rPr>
          <w:rFonts w:ascii="Times New Roman" w:hAnsi="Times New Roman" w:cs="Times New Roman"/>
          <w:sz w:val="28"/>
          <w:szCs w:val="28"/>
          <w:highlight w:val="green"/>
        </w:rPr>
        <w:t>(с 1 января по 1 (30) апреля года, следующего за отчетным)</w:t>
      </w:r>
      <w:r w:rsidRPr="00407654">
        <w:rPr>
          <w:rStyle w:val="af5"/>
          <w:rFonts w:ascii="Times New Roman" w:hAnsi="Times New Roman" w:cs="Times New Roman"/>
          <w:color w:val="000000"/>
          <w:sz w:val="28"/>
          <w:szCs w:val="28"/>
          <w:highlight w:val="green"/>
        </w:rPr>
        <w:t xml:space="preserve"> наименование замещаемой (занимаемой) должности изменилось, то указывается должность, замещаемая (занимаемая) 31 декабря отчетного года).</w:t>
      </w:r>
      <w:r w:rsidRPr="006848CC">
        <w:rPr>
          <w:rStyle w:val="af5"/>
          <w:rFonts w:ascii="Times New Roman" w:hAnsi="Times New Roman" w:cs="Times New Roman"/>
          <w:color w:val="000000"/>
          <w:sz w:val="28"/>
          <w:szCs w:val="28"/>
        </w:rPr>
        <w:t xml:space="preserve">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53FAA" w14:textId="77777777" w:rsidR="00F95C1A" w:rsidRDefault="00F95C1A">
      <w:r>
        <w:separator/>
      </w:r>
    </w:p>
  </w:endnote>
  <w:endnote w:type="continuationSeparator" w:id="0">
    <w:p w14:paraId="16BE9206" w14:textId="77777777" w:rsidR="00F95C1A" w:rsidRDefault="00F95C1A">
      <w:r>
        <w:continuationSeparator/>
      </w:r>
    </w:p>
  </w:endnote>
  <w:endnote w:type="continuationNotice" w:id="1">
    <w:p w14:paraId="6E2901DB" w14:textId="77777777" w:rsidR="00F95C1A" w:rsidRDefault="00F95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C9CF7" w14:textId="77777777" w:rsidR="00F95C1A" w:rsidRDefault="00F95C1A">
      <w:r>
        <w:separator/>
      </w:r>
    </w:p>
  </w:footnote>
  <w:footnote w:type="continuationSeparator" w:id="0">
    <w:p w14:paraId="7624F3F9" w14:textId="77777777" w:rsidR="00F95C1A" w:rsidRDefault="00F95C1A">
      <w:r>
        <w:continuationSeparator/>
      </w:r>
    </w:p>
  </w:footnote>
  <w:footnote w:type="continuationNotice" w:id="1">
    <w:p w14:paraId="4BFBFD09" w14:textId="77777777" w:rsidR="00F95C1A" w:rsidRDefault="00F95C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07654" w:rsidRDefault="0040765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8A6331" w:rsidRPr="008A6331">
      <w:rPr>
        <w:rFonts w:ascii="Times New Roman" w:eastAsia="Times New Roman" w:hAnsi="Times New Roman"/>
        <w:noProof/>
        <w:sz w:val="28"/>
      </w:rPr>
      <w:t>22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07654"/>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331"/>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95C1A"/>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90DD68A7-3F36-4FF1-99B8-83AF2948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Баулин Сергей Алексеевич</cp:lastModifiedBy>
  <cp:revision>7</cp:revision>
  <cp:lastPrinted>2024-01-31T08:32:00Z</cp:lastPrinted>
  <dcterms:created xsi:type="dcterms:W3CDTF">2024-02-12T07:45:00Z</dcterms:created>
  <dcterms:modified xsi:type="dcterms:W3CDTF">2024-02-19T11:49:00Z</dcterms:modified>
</cp:coreProperties>
</file>